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#80</w:t>
      </w:r>
      <w:r w:rsidR="002D437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7369C2">
        <w:rPr>
          <w:lang w:eastAsia="zh-CN"/>
        </w:rPr>
        <w:t>50195</w:t>
      </w:r>
    </w:p>
    <w:p w:rsidR="00BE6A3E" w:rsidRPr="00B4082C" w:rsidRDefault="0015459B"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15459B">
        <w:rPr>
          <w:lang w:val="en-US" w:eastAsia="zh-CN"/>
        </w:rPr>
        <w:t>Athens, Greece, 9</w:t>
      </w:r>
      <w:r w:rsidRPr="0015459B">
        <w:rPr>
          <w:vertAlign w:val="superscript"/>
          <w:lang w:val="en-US" w:eastAsia="zh-CN"/>
        </w:rPr>
        <w:t>th</w:t>
      </w:r>
      <w:r w:rsidRPr="0015459B">
        <w:rPr>
          <w:lang w:val="en-US" w:eastAsia="zh-CN"/>
        </w:rPr>
        <w:t xml:space="preserve"> – 13</w:t>
      </w:r>
      <w:r w:rsidRPr="0015459B">
        <w:rPr>
          <w:vertAlign w:val="superscript"/>
          <w:lang w:val="en-US" w:eastAsia="zh-CN"/>
        </w:rPr>
        <w:t>th</w:t>
      </w:r>
      <w:r w:rsidRPr="0015459B">
        <w:rPr>
          <w:lang w:val="en-US" w:eastAsia="zh-CN"/>
        </w:rPr>
        <w:t xml:space="preserve"> February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369C2">
        <w:rPr>
          <w:lang w:val="en-US" w:eastAsia="zh-CN"/>
        </w:rPr>
        <w:t>Discussion on T</w:t>
      </w:r>
      <w:r w:rsidR="007369C2" w:rsidRPr="007369C2">
        <w:rPr>
          <w:lang w:val="en-US" w:eastAsia="zh-CN"/>
        </w:rPr>
        <w:t xml:space="preserve">ransmission </w:t>
      </w:r>
      <w:r w:rsidR="007369C2">
        <w:rPr>
          <w:lang w:val="en-US" w:eastAsia="zh-CN"/>
        </w:rPr>
        <w:t>M</w:t>
      </w:r>
      <w:r w:rsidR="007369C2" w:rsidRPr="007369C2">
        <w:rPr>
          <w:lang w:val="en-US" w:eastAsia="zh-CN"/>
        </w:rPr>
        <w:t>odes for LAA DL</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15459B">
        <w:rPr>
          <w:lang w:val="en-US" w:eastAsia="zh-CN"/>
        </w:rPr>
        <w:t>7.2.3.3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Pr="00B05C92" w:rsidRDefault="00637237" w:rsidP="0047764C">
      <w:pPr>
        <w:rPr>
          <w:rFonts w:eastAsia="MS Mincho"/>
          <w:iCs/>
          <w:lang w:val="en-US" w:eastAsia="ja-JP"/>
        </w:rPr>
      </w:pPr>
      <w:r>
        <w:rPr>
          <w:lang w:eastAsia="zh-CN"/>
        </w:rPr>
        <w:t xml:space="preserve">In RAN#65, a new study item on licensed-assisted access (LAA) using LTE on unlicensed spectrum </w:t>
      </w:r>
      <w:r w:rsidR="009F3720">
        <w:rPr>
          <w:lang w:eastAsia="zh-CN"/>
        </w:rPr>
        <w:fldChar w:fldCharType="begin"/>
      </w:r>
      <w:r>
        <w:rPr>
          <w:lang w:eastAsia="zh-CN"/>
        </w:rPr>
        <w:instrText xml:space="preserve"> REF _Ref398850322 \r \h </w:instrText>
      </w:r>
      <w:r w:rsidR="009F3720">
        <w:rPr>
          <w:lang w:eastAsia="zh-CN"/>
        </w:rPr>
      </w:r>
      <w:r w:rsidR="009F3720">
        <w:rPr>
          <w:lang w:eastAsia="zh-CN"/>
        </w:rPr>
        <w:fldChar w:fldCharType="separate"/>
      </w:r>
      <w:r w:rsidR="00DE35BA">
        <w:rPr>
          <w:lang w:eastAsia="zh-CN"/>
        </w:rPr>
        <w:t>[1]</w:t>
      </w:r>
      <w:r w:rsidR="009F3720">
        <w:rPr>
          <w:lang w:eastAsia="zh-CN"/>
        </w:rPr>
        <w:fldChar w:fldCharType="end"/>
      </w:r>
      <w:r>
        <w:rPr>
          <w:lang w:eastAsia="zh-CN"/>
        </w:rPr>
        <w:t xml:space="preserve"> </w:t>
      </w:r>
      <w:r w:rsidR="00BB25CC">
        <w:rPr>
          <w:lang w:eastAsia="zh-CN"/>
        </w:rPr>
        <w:t>was</w:t>
      </w:r>
      <w:r>
        <w:rPr>
          <w:lang w:eastAsia="zh-CN"/>
        </w:rPr>
        <w:t xml:space="preserve"> approved. </w:t>
      </w:r>
      <w:r w:rsidR="007369C2">
        <w:rPr>
          <w:lang w:eastAsia="zh-CN"/>
        </w:rPr>
        <w:t>Among many other critical design issues such as LBT, frame structure, fast cell on/off, etc., one issue to be addressed is what transmission modes are supported on LAA carriers.</w:t>
      </w:r>
      <w:r w:rsidR="00B05C92">
        <w:rPr>
          <w:lang w:eastAsia="zh-CN"/>
        </w:rPr>
        <w:t xml:space="preserve"> In this contribution we share our views on the transmission modes.</w:t>
      </w:r>
    </w:p>
    <w:p w:rsidR="006E15FE" w:rsidRPr="00B05C92" w:rsidRDefault="006E15FE" w:rsidP="00637237">
      <w:pPr>
        <w:rPr>
          <w:lang w:val="en-US" w:eastAsia="zh-CN"/>
        </w:rPr>
      </w:pPr>
    </w:p>
    <w:p w:rsidR="00637237" w:rsidRDefault="00B05C92" w:rsidP="00637237">
      <w:pPr>
        <w:pStyle w:val="Heading1"/>
        <w:numPr>
          <w:ilvl w:val="0"/>
          <w:numId w:val="21"/>
        </w:numPr>
        <w:jc w:val="both"/>
        <w:rPr>
          <w:lang w:eastAsia="zh-CN"/>
        </w:rPr>
      </w:pPr>
      <w:r>
        <w:rPr>
          <w:lang w:eastAsia="zh-CN"/>
        </w:rPr>
        <w:t>Discussion on Transmission Modes</w:t>
      </w:r>
    </w:p>
    <w:p w:rsidR="00B05C92" w:rsidRDefault="00B05C92" w:rsidP="00D13696">
      <w:pPr>
        <w:rPr>
          <w:lang w:eastAsia="zh-CN"/>
        </w:rPr>
      </w:pPr>
      <w:r>
        <w:rPr>
          <w:lang w:eastAsia="zh-CN"/>
        </w:rPr>
        <w:t xml:space="preserve">LTE </w:t>
      </w:r>
      <w:r w:rsidR="00020332">
        <w:rPr>
          <w:lang w:eastAsia="zh-CN"/>
        </w:rPr>
        <w:t xml:space="preserve">currently </w:t>
      </w:r>
      <w:r>
        <w:rPr>
          <w:lang w:eastAsia="zh-CN"/>
        </w:rPr>
        <w:t xml:space="preserve">supports </w:t>
      </w:r>
      <w:r w:rsidR="000B34DA">
        <w:rPr>
          <w:lang w:eastAsia="zh-CN"/>
        </w:rPr>
        <w:t xml:space="preserve">the following </w:t>
      </w:r>
      <w:r>
        <w:rPr>
          <w:lang w:eastAsia="zh-CN"/>
        </w:rPr>
        <w:t>1</w:t>
      </w:r>
      <w:r w:rsidR="000B34DA">
        <w:rPr>
          <w:lang w:eastAsia="zh-CN"/>
        </w:rPr>
        <w:t>0 transmission modes: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TM1: single antenna port transmission</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TM2: transmit diversity</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TM3: open-loop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TM4: closed-loop spatial multiplexing</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TM5: MU-MIMO</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TM6: closed-loop rank-1 </w:t>
      </w:r>
      <w:proofErr w:type="spellStart"/>
      <w:r w:rsidRPr="000B34DA">
        <w:rPr>
          <w:rFonts w:ascii="Times New Roman" w:hAnsi="Times New Roman"/>
          <w:sz w:val="22"/>
        </w:rPr>
        <w:t>precoding</w:t>
      </w:r>
      <w:proofErr w:type="spellEnd"/>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TM7: single-layer transmission using UE-specific RSs</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TM8: up to two-layer transmission using UE-specific RSs (Rel-9)</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TM9: up to 8-layer transmission using UE-specific RSs (Rel-10)</w:t>
      </w:r>
    </w:p>
    <w:p w:rsidR="000B34DA" w:rsidRPr="000B34DA" w:rsidRDefault="000B34DA" w:rsidP="000B34DA">
      <w:pPr>
        <w:pStyle w:val="ListParagraph"/>
        <w:numPr>
          <w:ilvl w:val="0"/>
          <w:numId w:val="27"/>
        </w:numPr>
        <w:ind w:firstLineChars="0"/>
        <w:rPr>
          <w:rFonts w:ascii="Times New Roman" w:hAnsi="Times New Roman"/>
          <w:sz w:val="22"/>
        </w:rPr>
      </w:pPr>
      <w:r w:rsidRPr="000B34DA">
        <w:rPr>
          <w:rFonts w:ascii="Times New Roman" w:hAnsi="Times New Roman"/>
          <w:sz w:val="22"/>
        </w:rPr>
        <w:t xml:space="preserve">TM10: up to 8-layer transmission using UE-specific RSs, with </w:t>
      </w:r>
      <w:r w:rsidR="00020332">
        <w:rPr>
          <w:rFonts w:ascii="Times New Roman" w:hAnsi="Times New Roman"/>
          <w:sz w:val="22"/>
        </w:rPr>
        <w:t xml:space="preserve">CSI-IM based </w:t>
      </w:r>
      <w:r w:rsidRPr="000B34DA">
        <w:rPr>
          <w:rFonts w:ascii="Times New Roman" w:hAnsi="Times New Roman"/>
          <w:sz w:val="22"/>
        </w:rPr>
        <w:t xml:space="preserve">interference measurement for </w:t>
      </w:r>
      <w:proofErr w:type="spellStart"/>
      <w:r w:rsidRPr="000B34DA">
        <w:rPr>
          <w:rFonts w:ascii="Times New Roman" w:hAnsi="Times New Roman"/>
          <w:sz w:val="22"/>
        </w:rPr>
        <w:t>CoMP</w:t>
      </w:r>
      <w:proofErr w:type="spellEnd"/>
      <w:r w:rsidRPr="000B34DA">
        <w:rPr>
          <w:rFonts w:ascii="Times New Roman" w:hAnsi="Times New Roman"/>
          <w:sz w:val="22"/>
        </w:rPr>
        <w:t xml:space="preserve"> support (Rel-11)</w:t>
      </w:r>
    </w:p>
    <w:p w:rsidR="005D4BEA" w:rsidRDefault="00B90DA4" w:rsidP="005D4BEA">
      <w:r>
        <w:t xml:space="preserve">TM10 was introduced specifically to support </w:t>
      </w:r>
      <w:proofErr w:type="spellStart"/>
      <w:r>
        <w:t>CoMP.</w:t>
      </w:r>
      <w:proofErr w:type="spellEnd"/>
      <w:r>
        <w:t xml:space="preserve"> In LAA, it is unrealistic to use </w:t>
      </w:r>
      <w:proofErr w:type="spellStart"/>
      <w:r>
        <w:t>CoMP</w:t>
      </w:r>
      <w:proofErr w:type="spellEnd"/>
      <w:r>
        <w:t xml:space="preserve"> because:</w:t>
      </w:r>
    </w:p>
    <w:p w:rsidR="00B90DA4" w:rsidRPr="006D7FB2" w:rsidRDefault="00B90DA4"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When LBT is required before transmission, it is very difficult, if possible at all, to coordinate the transmission</w:t>
      </w:r>
      <w:r w:rsidR="006D7FB2" w:rsidRPr="006D7FB2">
        <w:rPr>
          <w:rFonts w:ascii="Times New Roman" w:hAnsi="Times New Roman"/>
          <w:sz w:val="22"/>
        </w:rPr>
        <w:t>s</w:t>
      </w:r>
      <w:r w:rsidRPr="006D7FB2">
        <w:rPr>
          <w:rFonts w:ascii="Times New Roman" w:hAnsi="Times New Roman"/>
          <w:sz w:val="22"/>
        </w:rPr>
        <w:t xml:space="preserve"> between multiple </w:t>
      </w:r>
      <w:proofErr w:type="spellStart"/>
      <w:r w:rsidRPr="006D7FB2">
        <w:rPr>
          <w:rFonts w:ascii="Times New Roman" w:hAnsi="Times New Roman"/>
          <w:sz w:val="22"/>
        </w:rPr>
        <w:t>eNBs</w:t>
      </w:r>
      <w:proofErr w:type="spellEnd"/>
      <w:r w:rsidRPr="006D7FB2">
        <w:rPr>
          <w:rFonts w:ascii="Times New Roman" w:hAnsi="Times New Roman"/>
          <w:sz w:val="22"/>
        </w:rPr>
        <w:t>.</w:t>
      </w:r>
    </w:p>
    <w:p w:rsidR="00B90DA4" w:rsidRPr="006D7FB2" w:rsidRDefault="00A747EE" w:rsidP="00B90DA4">
      <w:pPr>
        <w:pStyle w:val="ListParagraph"/>
        <w:numPr>
          <w:ilvl w:val="0"/>
          <w:numId w:val="28"/>
        </w:numPr>
        <w:ind w:firstLineChars="0"/>
        <w:rPr>
          <w:rFonts w:ascii="Times New Roman" w:hAnsi="Times New Roman"/>
          <w:sz w:val="22"/>
        </w:rPr>
      </w:pPr>
      <w:r w:rsidRPr="006D7FB2">
        <w:rPr>
          <w:rFonts w:ascii="Times New Roman" w:hAnsi="Times New Roman"/>
          <w:sz w:val="22"/>
        </w:rPr>
        <w:t xml:space="preserve">The </w:t>
      </w:r>
      <w:r w:rsidR="006D7FB2" w:rsidRPr="006D7FB2">
        <w:rPr>
          <w:rFonts w:ascii="Times New Roman" w:hAnsi="Times New Roman"/>
          <w:sz w:val="22"/>
        </w:rPr>
        <w:t xml:space="preserve">interference can vary significantly more on unlicensed carriers than licensed carriers. This would cause the gain of </w:t>
      </w:r>
      <w:proofErr w:type="spellStart"/>
      <w:r w:rsidR="006D7FB2" w:rsidRPr="006D7FB2">
        <w:rPr>
          <w:rFonts w:ascii="Times New Roman" w:hAnsi="Times New Roman"/>
          <w:sz w:val="22"/>
        </w:rPr>
        <w:t>CoMP</w:t>
      </w:r>
      <w:proofErr w:type="spellEnd"/>
      <w:r w:rsidR="006D7FB2" w:rsidRPr="006D7FB2">
        <w:rPr>
          <w:rFonts w:ascii="Times New Roman" w:hAnsi="Times New Roman"/>
          <w:sz w:val="22"/>
        </w:rPr>
        <w:t xml:space="preserve"> to diminish, if the gain exists at all.</w:t>
      </w:r>
    </w:p>
    <w:p w:rsidR="00123D07" w:rsidRDefault="006D7FB2" w:rsidP="00F10896">
      <w:pPr>
        <w:rPr>
          <w:lang w:eastAsia="zh-CN"/>
        </w:rPr>
      </w:pPr>
      <w:r>
        <w:rPr>
          <w:lang w:eastAsia="zh-CN"/>
        </w:rPr>
        <w:t xml:space="preserve">This suggests that it is not necessary to support </w:t>
      </w:r>
      <w:proofErr w:type="spellStart"/>
      <w:r>
        <w:rPr>
          <w:lang w:eastAsia="zh-CN"/>
        </w:rPr>
        <w:t>CoMP</w:t>
      </w:r>
      <w:proofErr w:type="spellEnd"/>
      <w:r>
        <w:rPr>
          <w:lang w:eastAsia="zh-CN"/>
        </w:rPr>
        <w:t xml:space="preserve"> on an LAA carrier. Therefore we propose:</w:t>
      </w:r>
    </w:p>
    <w:p w:rsidR="006D7FB2" w:rsidRDefault="006D7FB2" w:rsidP="00F10896">
      <w:pPr>
        <w:rPr>
          <w:lang w:eastAsia="zh-CN"/>
        </w:rPr>
      </w:pPr>
      <w:r w:rsidRPr="00227D82">
        <w:rPr>
          <w:b/>
          <w:u w:val="single"/>
          <w:lang w:eastAsia="zh-CN"/>
        </w:rPr>
        <w:t>Proposal 1</w:t>
      </w:r>
      <w:r>
        <w:rPr>
          <w:lang w:eastAsia="zh-CN"/>
        </w:rPr>
        <w:t xml:space="preserve">: </w:t>
      </w:r>
      <w:proofErr w:type="spellStart"/>
      <w:r w:rsidR="002D1644">
        <w:rPr>
          <w:lang w:eastAsia="zh-CN"/>
        </w:rPr>
        <w:t>CoMP</w:t>
      </w:r>
      <w:proofErr w:type="spellEnd"/>
      <w:r w:rsidR="002D1644">
        <w:rPr>
          <w:lang w:eastAsia="zh-CN"/>
        </w:rPr>
        <w:t xml:space="preserve"> is not supported</w:t>
      </w:r>
      <w:r>
        <w:rPr>
          <w:lang w:eastAsia="zh-CN"/>
        </w:rPr>
        <w:t xml:space="preserve"> for LAA.</w:t>
      </w:r>
    </w:p>
    <w:p w:rsidR="00227D82" w:rsidRDefault="002D1644" w:rsidP="00F10896">
      <w:pPr>
        <w:rPr>
          <w:lang w:eastAsia="zh-CN"/>
        </w:rPr>
      </w:pPr>
      <w:r>
        <w:rPr>
          <w:lang w:eastAsia="zh-CN"/>
        </w:rPr>
        <w:t xml:space="preserve">Even though there is no need to support </w:t>
      </w:r>
      <w:proofErr w:type="spellStart"/>
      <w:r>
        <w:rPr>
          <w:lang w:eastAsia="zh-CN"/>
        </w:rPr>
        <w:t>CoMP</w:t>
      </w:r>
      <w:proofErr w:type="spellEnd"/>
      <w:r>
        <w:rPr>
          <w:lang w:eastAsia="zh-CN"/>
        </w:rPr>
        <w:t xml:space="preserve">, it is still questionable whether TM10 should be excluded from the consideration for LAA. But not supporting </w:t>
      </w:r>
      <w:proofErr w:type="spellStart"/>
      <w:r>
        <w:rPr>
          <w:lang w:eastAsia="zh-CN"/>
        </w:rPr>
        <w:t>CoMP</w:t>
      </w:r>
      <w:proofErr w:type="spellEnd"/>
      <w:r>
        <w:rPr>
          <w:lang w:eastAsia="zh-CN"/>
        </w:rPr>
        <w:t xml:space="preserve"> at least means that there is no need to support multiple CSI processes. </w:t>
      </w:r>
      <w:r w:rsidR="00227D82">
        <w:rPr>
          <w:lang w:eastAsia="zh-CN"/>
        </w:rPr>
        <w:t xml:space="preserve">In order to take the most advantage of the advanced features that are already developed for PDSCH transmission, </w:t>
      </w:r>
      <w:r>
        <w:rPr>
          <w:lang w:eastAsia="zh-CN"/>
        </w:rPr>
        <w:t xml:space="preserve">either </w:t>
      </w:r>
      <w:r w:rsidR="00227D82">
        <w:rPr>
          <w:lang w:eastAsia="zh-CN"/>
        </w:rPr>
        <w:t xml:space="preserve">TM9 or </w:t>
      </w:r>
      <w:r>
        <w:rPr>
          <w:lang w:eastAsia="zh-CN"/>
        </w:rPr>
        <w:t>TM10 with a single CSI process can serve as the starting point for LAA</w:t>
      </w:r>
      <w:r w:rsidR="00227D82">
        <w:rPr>
          <w:lang w:eastAsia="zh-CN"/>
        </w:rPr>
        <w:t>. In addition, since LAA has no backward compatibility issue, it is not really necessary to support the other TMs</w:t>
      </w:r>
      <w:r>
        <w:rPr>
          <w:lang w:eastAsia="zh-CN"/>
        </w:rPr>
        <w:t xml:space="preserve"> (TM1-8)</w:t>
      </w:r>
      <w:r w:rsidR="00227D82">
        <w:rPr>
          <w:lang w:eastAsia="zh-CN"/>
        </w:rPr>
        <w:t>. Conceptually TM9</w:t>
      </w:r>
      <w:r>
        <w:rPr>
          <w:lang w:eastAsia="zh-CN"/>
        </w:rPr>
        <w:t xml:space="preserve"> or TM10 with a single CSI process</w:t>
      </w:r>
      <w:r w:rsidR="00227D82">
        <w:rPr>
          <w:lang w:eastAsia="zh-CN"/>
        </w:rPr>
        <w:t xml:space="preserve"> can be considered as a superset of all the other TMs.</w:t>
      </w:r>
    </w:p>
    <w:p w:rsidR="002D1644" w:rsidRDefault="002D1644" w:rsidP="00F10896">
      <w:pPr>
        <w:rPr>
          <w:lang w:eastAsia="zh-CN"/>
        </w:rPr>
      </w:pPr>
      <w:r>
        <w:rPr>
          <w:lang w:eastAsia="zh-CN"/>
        </w:rPr>
        <w:t>The major difference between TM9 and TM10 with a single CSI process is that CSI-IM is defined for interference measurement in TM10. It needs to be discussed further whether CSI-IM is considered necessary for LAA.</w:t>
      </w:r>
    </w:p>
    <w:p w:rsidR="002D1644" w:rsidRDefault="002D1644" w:rsidP="002D1644">
      <w:pPr>
        <w:rPr>
          <w:lang w:eastAsia="zh-CN"/>
        </w:rPr>
      </w:pPr>
      <w:r w:rsidRPr="00227D82">
        <w:rPr>
          <w:b/>
          <w:u w:val="single"/>
          <w:lang w:eastAsia="zh-CN"/>
        </w:rPr>
        <w:t>Proposal 2</w:t>
      </w:r>
      <w:r>
        <w:rPr>
          <w:lang w:eastAsia="zh-CN"/>
        </w:rPr>
        <w:t>: TM9 or TM10 with a single CSI process is the baseline TM supported for LAA.</w:t>
      </w:r>
    </w:p>
    <w:p w:rsidR="00227D82" w:rsidRDefault="00227D82" w:rsidP="00F10896">
      <w:pPr>
        <w:rPr>
          <w:lang w:eastAsia="zh-CN"/>
        </w:rPr>
      </w:pPr>
      <w:r>
        <w:rPr>
          <w:lang w:eastAsia="zh-CN"/>
        </w:rPr>
        <w:lastRenderedPageBreak/>
        <w:t>TM9</w:t>
      </w:r>
      <w:r w:rsidR="002D1644">
        <w:rPr>
          <w:lang w:eastAsia="zh-CN"/>
        </w:rPr>
        <w:t xml:space="preserve"> or TM10</w:t>
      </w:r>
      <w:r>
        <w:rPr>
          <w:lang w:eastAsia="zh-CN"/>
        </w:rPr>
        <w:t xml:space="preserve"> cannot be directly reused for LAA. How CSI measurement is performed needs to be changed at least when LBT is mandated for RS transmission. This is discussed in detail in our companion contribution in </w:t>
      </w:r>
      <w:r w:rsidR="009F3720">
        <w:rPr>
          <w:lang w:eastAsia="zh-CN"/>
        </w:rPr>
        <w:fldChar w:fldCharType="begin"/>
      </w:r>
      <w:r>
        <w:rPr>
          <w:lang w:eastAsia="zh-CN"/>
        </w:rPr>
        <w:instrText xml:space="preserve"> REF _Ref410081715 \r \h </w:instrText>
      </w:r>
      <w:r w:rsidR="009F3720">
        <w:rPr>
          <w:lang w:eastAsia="zh-CN"/>
        </w:rPr>
      </w:r>
      <w:r w:rsidR="009F3720">
        <w:rPr>
          <w:lang w:eastAsia="zh-CN"/>
        </w:rPr>
        <w:fldChar w:fldCharType="separate"/>
      </w:r>
      <w:r>
        <w:rPr>
          <w:lang w:eastAsia="zh-CN"/>
        </w:rPr>
        <w:t>[2]</w:t>
      </w:r>
      <w:r w:rsidR="009F3720">
        <w:rPr>
          <w:lang w:eastAsia="zh-CN"/>
        </w:rPr>
        <w:fldChar w:fldCharType="end"/>
      </w:r>
      <w:r>
        <w:rPr>
          <w:lang w:eastAsia="zh-CN"/>
        </w:rPr>
        <w:t>.</w:t>
      </w:r>
    </w:p>
    <w:p w:rsidR="006D7FB2" w:rsidRDefault="00227D82" w:rsidP="00F10896">
      <w:pPr>
        <w:rPr>
          <w:lang w:eastAsia="zh-CN"/>
        </w:rPr>
      </w:pPr>
      <w:r>
        <w:rPr>
          <w:lang w:eastAsia="zh-CN"/>
        </w:rPr>
        <w:t>In addition, it is worthwhile to consider whether to change the corresponding fallback transmission scheme. Currently TM9</w:t>
      </w:r>
      <w:r w:rsidR="002D1644">
        <w:rPr>
          <w:lang w:eastAsia="zh-CN"/>
        </w:rPr>
        <w:t xml:space="preserve"> and TM10</w:t>
      </w:r>
      <w:r>
        <w:rPr>
          <w:lang w:eastAsia="zh-CN"/>
        </w:rPr>
        <w:t xml:space="preserve"> fall back to SFBC transmit diversity transmission scheme, which depends on CRS for demodulation. If CRS-based TMs are not supported for LAA, it would not be necessary to transmit CRS in every ON </w:t>
      </w:r>
      <w:proofErr w:type="spellStart"/>
      <w:r>
        <w:rPr>
          <w:lang w:eastAsia="zh-CN"/>
        </w:rPr>
        <w:t>subframe</w:t>
      </w:r>
      <w:proofErr w:type="spellEnd"/>
      <w:r>
        <w:rPr>
          <w:lang w:eastAsia="zh-CN"/>
        </w:rPr>
        <w:t xml:space="preserve">. Reducing CRS can reduce the overhead and improve the system efficiency. In this case, a non-CRS based fallback scheme would be necessary. One possible scheme is the implementation-dependent </w:t>
      </w:r>
      <w:proofErr w:type="spellStart"/>
      <w:r>
        <w:rPr>
          <w:lang w:eastAsia="zh-CN"/>
        </w:rPr>
        <w:t>beamforming</w:t>
      </w:r>
      <w:proofErr w:type="spellEnd"/>
      <w:r>
        <w:rPr>
          <w:lang w:eastAsia="zh-CN"/>
        </w:rPr>
        <w:t xml:space="preserve"> scheme that has been adopted for EPDCCH.</w:t>
      </w:r>
    </w:p>
    <w:p w:rsidR="00227D82" w:rsidRPr="00F10896" w:rsidRDefault="00227D82" w:rsidP="00F10896">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w:t>
      </w:r>
      <w:r w:rsidR="002D1644">
        <w:rPr>
          <w:lang w:eastAsia="zh-CN"/>
        </w:rPr>
        <w:t>RS based fallback transmission scheme for the TM on LAA</w:t>
      </w:r>
      <w:r>
        <w:rPr>
          <w:lang w:eastAsia="zh-CN"/>
        </w:rPr>
        <w:t>.</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transmission modes that should be supported for LAA, and proposed the following:</w:t>
      </w:r>
    </w:p>
    <w:p w:rsidR="002D1644" w:rsidRDefault="002D1644" w:rsidP="002D1644">
      <w:pPr>
        <w:rPr>
          <w:lang w:eastAsia="zh-CN"/>
        </w:rPr>
      </w:pPr>
      <w:r w:rsidRPr="00227D82">
        <w:rPr>
          <w:b/>
          <w:u w:val="single"/>
          <w:lang w:eastAsia="zh-CN"/>
        </w:rPr>
        <w:t>Proposal 1</w:t>
      </w:r>
      <w:r>
        <w:rPr>
          <w:lang w:eastAsia="zh-CN"/>
        </w:rPr>
        <w:t xml:space="preserve">: </w:t>
      </w:r>
      <w:proofErr w:type="spellStart"/>
      <w:r>
        <w:rPr>
          <w:lang w:eastAsia="zh-CN"/>
        </w:rPr>
        <w:t>CoMP</w:t>
      </w:r>
      <w:proofErr w:type="spellEnd"/>
      <w:r>
        <w:rPr>
          <w:lang w:eastAsia="zh-CN"/>
        </w:rPr>
        <w:t xml:space="preserve"> is not supported for LAA.</w:t>
      </w:r>
    </w:p>
    <w:p w:rsidR="002D1644" w:rsidRDefault="002D1644" w:rsidP="002D1644">
      <w:pPr>
        <w:rPr>
          <w:lang w:eastAsia="zh-CN"/>
        </w:rPr>
      </w:pPr>
      <w:r w:rsidRPr="00227D82">
        <w:rPr>
          <w:b/>
          <w:u w:val="single"/>
          <w:lang w:eastAsia="zh-CN"/>
        </w:rPr>
        <w:t>Proposal 2</w:t>
      </w:r>
      <w:r>
        <w:rPr>
          <w:lang w:eastAsia="zh-CN"/>
        </w:rPr>
        <w:t>: TM9 or TM10 with a single CSI process is the baseline TM supported for LAA.</w:t>
      </w:r>
    </w:p>
    <w:p w:rsidR="002D1644" w:rsidRPr="00F10896" w:rsidRDefault="002D1644" w:rsidP="002D1644">
      <w:pPr>
        <w:rPr>
          <w:lang w:eastAsia="zh-CN"/>
        </w:rPr>
      </w:pPr>
      <w:r w:rsidRPr="00227D82">
        <w:rPr>
          <w:b/>
          <w:u w:val="single"/>
          <w:lang w:eastAsia="zh-CN"/>
        </w:rPr>
        <w:t>Proposal 3</w:t>
      </w:r>
      <w:r>
        <w:rPr>
          <w:lang w:eastAsia="zh-CN"/>
        </w:rPr>
        <w:t xml:space="preserve">: It should be considered to reduce CRS transmission during ON </w:t>
      </w:r>
      <w:proofErr w:type="spellStart"/>
      <w:r>
        <w:rPr>
          <w:lang w:eastAsia="zh-CN"/>
        </w:rPr>
        <w:t>subframes</w:t>
      </w:r>
      <w:proofErr w:type="spellEnd"/>
      <w:r>
        <w:rPr>
          <w:lang w:eastAsia="zh-CN"/>
        </w:rPr>
        <w:t xml:space="preserve"> and introduce a non-CRS based fallback transmission scheme for the TM on LAA.</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227D82" w:rsidRDefault="00227D82" w:rsidP="00BC2E1F">
      <w:pPr>
        <w:numPr>
          <w:ilvl w:val="0"/>
          <w:numId w:val="20"/>
        </w:numPr>
        <w:jc w:val="left"/>
        <w:rPr>
          <w:color w:val="000000"/>
          <w:lang w:val="en-US" w:eastAsia="zh-CN"/>
        </w:rPr>
      </w:pPr>
      <w:bookmarkStart w:id="10" w:name="_Ref410081715"/>
      <w:r>
        <w:rPr>
          <w:color w:val="000000"/>
          <w:lang w:val="en-US" w:eastAsia="zh-CN"/>
        </w:rPr>
        <w:t>R1-150192, “</w:t>
      </w:r>
      <w:r>
        <w:rPr>
          <w:lang w:val="en-US" w:eastAsia="zh-CN"/>
        </w:rPr>
        <w:t>RS Design for LAA,</w:t>
      </w:r>
      <w:r>
        <w:rPr>
          <w:color w:val="000000"/>
          <w:lang w:val="en-US" w:eastAsia="zh-CN"/>
        </w:rPr>
        <w:t xml:space="preserve">” </w:t>
      </w:r>
      <w:r>
        <w:t>Alcatel</w:t>
      </w:r>
      <w:r>
        <w:rPr>
          <w:lang w:eastAsia="zh-CN"/>
        </w:rPr>
        <w:t>-Lucent, Alcatel-Lucent Shanghai Bell, RAN1#80, Feb. 2015.</w:t>
      </w:r>
      <w:bookmarkEnd w:id="10"/>
    </w:p>
    <w:sectPr w:rsidR="00227D82"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3E14" w:rsidRDefault="00133E14">
      <w:r>
        <w:separator/>
      </w:r>
    </w:p>
  </w:endnote>
  <w:endnote w:type="continuationSeparator" w:id="0">
    <w:p w:rsidR="00133E14" w:rsidRDefault="00133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F3720">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9F3720" w:rsidRPr="00217773">
      <w:rPr>
        <w:rStyle w:val="PageNumber"/>
        <w:b/>
        <w:szCs w:val="22"/>
        <w:lang w:val="en-US"/>
      </w:rPr>
      <w:fldChar w:fldCharType="begin"/>
    </w:r>
    <w:r w:rsidRPr="00217773">
      <w:rPr>
        <w:rStyle w:val="PageNumber"/>
        <w:b/>
        <w:szCs w:val="22"/>
        <w:lang w:val="en-US"/>
      </w:rPr>
      <w:instrText xml:space="preserve"> PAGE </w:instrText>
    </w:r>
    <w:r w:rsidR="009F3720" w:rsidRPr="00217773">
      <w:rPr>
        <w:rStyle w:val="PageNumber"/>
        <w:b/>
        <w:szCs w:val="22"/>
        <w:lang w:val="en-US"/>
      </w:rPr>
      <w:fldChar w:fldCharType="separate"/>
    </w:r>
    <w:r w:rsidR="002D1644">
      <w:rPr>
        <w:rStyle w:val="PageNumber"/>
        <w:b/>
        <w:noProof/>
        <w:szCs w:val="22"/>
        <w:lang w:val="en-US"/>
      </w:rPr>
      <w:t>1</w:t>
    </w:r>
    <w:r w:rsidR="009F3720"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3E14" w:rsidRDefault="00133E14">
      <w:r>
        <w:separator/>
      </w:r>
    </w:p>
  </w:footnote>
  <w:footnote w:type="continuationSeparator" w:id="0">
    <w:p w:rsidR="00133E14" w:rsidRDefault="00133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F3720">
    <w:pPr>
      <w:pStyle w:val="Header"/>
    </w:pPr>
    <w:r w:rsidRPr="009F37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F3720">
    <w:pPr>
      <w:pStyle w:val="Header"/>
    </w:pPr>
    <w:r w:rsidRPr="009F37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9F3720">
    <w:pPr>
      <w:pStyle w:val="Header"/>
    </w:pPr>
    <w:r w:rsidRPr="009F372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1">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2">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1"/>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8"/>
  </w:num>
  <w:num w:numId="16">
    <w:abstractNumId w:val="27"/>
  </w:num>
  <w:num w:numId="17">
    <w:abstractNumId w:val="19"/>
  </w:num>
  <w:num w:numId="18">
    <w:abstractNumId w:val="17"/>
  </w:num>
  <w:num w:numId="19">
    <w:abstractNumId w:val="24"/>
  </w:num>
  <w:num w:numId="20">
    <w:abstractNumId w:val="16"/>
  </w:num>
  <w:num w:numId="21">
    <w:abstractNumId w:val="12"/>
  </w:num>
  <w:num w:numId="22">
    <w:abstractNumId w:val="10"/>
  </w:num>
  <w:num w:numId="23">
    <w:abstractNumId w:val="13"/>
  </w:num>
  <w:num w:numId="24">
    <w:abstractNumId w:val="15"/>
  </w:num>
  <w:num w:numId="25">
    <w:abstractNumId w:val="14"/>
  </w:num>
  <w:num w:numId="26">
    <w:abstractNumId w:val="22"/>
  </w:num>
  <w:num w:numId="27">
    <w:abstractNumId w:val="11"/>
  </w:num>
  <w:num w:numId="28">
    <w:abstractNumId w:val="25"/>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3E14"/>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644"/>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720"/>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9EBB4-D3AB-48F7-A59D-B90014598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4367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Alcatel-Lucent</dc:creator>
  <cp:lastModifiedBy>Sigen Ye</cp:lastModifiedBy>
  <cp:revision>217</cp:revision>
  <cp:lastPrinted>2015-01-26T11:07:00Z</cp:lastPrinted>
  <dcterms:created xsi:type="dcterms:W3CDTF">2015-01-26T09:16:00Z</dcterms:created>
  <dcterms:modified xsi:type="dcterms:W3CDTF">2015-01-28T06:43:00Z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